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881AC" w14:textId="77777777" w:rsidR="00BE6F53" w:rsidRDefault="00BE6F53" w:rsidP="00BE6F53">
      <w:pPr>
        <w:pStyle w:val="NormalWeb"/>
        <w:jc w:val="right"/>
        <w:rPr>
          <w:sz w:val="20"/>
          <w:szCs w:val="20"/>
        </w:rPr>
      </w:pPr>
      <w:r>
        <w:rPr>
          <w:rStyle w:val="Strong"/>
          <w:sz w:val="20"/>
          <w:szCs w:val="20"/>
        </w:rPr>
        <w:t>Հավելված N 26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ՀՀ կառավարության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2019 թվականի օգոստոսի 8-ի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N 1025-Ն որոշման</w:t>
      </w:r>
    </w:p>
    <w:p w14:paraId="0B637E3A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2EE2947" w14:textId="77777777" w:rsidR="00BE6F53" w:rsidRDefault="00BE6F53" w:rsidP="00BE6F53">
      <w:pPr>
        <w:pStyle w:val="vhc"/>
        <w:rPr>
          <w:sz w:val="20"/>
          <w:szCs w:val="20"/>
        </w:rPr>
      </w:pPr>
      <w:r>
        <w:rPr>
          <w:sz w:val="20"/>
          <w:szCs w:val="20"/>
        </w:rPr>
        <w:t>ՀԱՅԱՍՏԱՆԻ ՀԱՆՐԱՊԵՏՈՒԹՅԱՆ ՔԱՂԱՔԱՇԻՆՈՒԹՅԱՆ, ՏԵԽՆԻԿԱԿԱՆ ԵՎ ՀՐԴԵՀԱՅԻՆ ԱՆՎՏԱՆԳՈՒԹՅԱՆ ՏԵՍՉԱԿԱՆ ՄԱՐՄԻՆ</w:t>
      </w:r>
    </w:p>
    <w:p w14:paraId="05B230BC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00448A9" w14:textId="77777777" w:rsidR="00BE6F53" w:rsidRDefault="00BE6F53" w:rsidP="00BE6F53">
      <w:pPr>
        <w:pStyle w:val="vhc"/>
        <w:rPr>
          <w:sz w:val="20"/>
          <w:szCs w:val="20"/>
        </w:rPr>
      </w:pPr>
      <w:r>
        <w:rPr>
          <w:sz w:val="20"/>
          <w:szCs w:val="20"/>
        </w:rPr>
        <w:t>ՍՏՈՒԳԱԹԵՐԹ</w:t>
      </w:r>
      <w:r>
        <w:rPr>
          <w:sz w:val="20"/>
          <w:szCs w:val="20"/>
        </w:rPr>
        <w:br/>
        <w:t>ՆԱՎԹԱՄԹԵՐՔՆԵՐԻ ՊԱՀԵՍՏՆԵՐԻ ՀԱՄԱՐ</w:t>
      </w:r>
    </w:p>
    <w:p w14:paraId="5F6433E1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2272E0C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20"/>
        <w:gridCol w:w="2470"/>
        <w:gridCol w:w="1969"/>
      </w:tblGrid>
      <w:tr w:rsidR="00BE6F53" w14:paraId="22FDCAA5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1E4259" w14:textId="77777777" w:rsidR="00BE6F53" w:rsidRDefault="00BE6F53" w:rsidP="001F4B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E42ED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E4E3A3" w14:textId="77777777" w:rsidR="00BE6F53" w:rsidRDefault="00BE6F53" w:rsidP="001F4BB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 _______ 20 թ.</w:t>
            </w:r>
          </w:p>
        </w:tc>
      </w:tr>
      <w:tr w:rsidR="00BE6F53" w14:paraId="3E938010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53DB1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(տեսչական մարմնի տարածքային բաժնի անվանումը)</w:t>
            </w:r>
          </w:p>
        </w:tc>
        <w:tc>
          <w:tcPr>
            <w:tcW w:w="0" w:type="auto"/>
            <w:vAlign w:val="center"/>
            <w:hideMark/>
          </w:tcPr>
          <w:p w14:paraId="1509795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(հասցեն)</w:t>
            </w:r>
          </w:p>
        </w:tc>
        <w:tc>
          <w:tcPr>
            <w:tcW w:w="0" w:type="auto"/>
            <w:vAlign w:val="center"/>
            <w:hideMark/>
          </w:tcPr>
          <w:p w14:paraId="2781EDF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</w:t>
            </w:r>
            <w:r>
              <w:rPr>
                <w:rFonts w:eastAsia="Times New Roman"/>
                <w:sz w:val="20"/>
                <w:szCs w:val="20"/>
              </w:rPr>
              <w:br/>
              <w:t>(հեռախոսահամարը)</w:t>
            </w:r>
          </w:p>
        </w:tc>
      </w:tr>
      <w:tr w:rsidR="00BE6F53" w14:paraId="16070088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A4C36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E8F4E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BE6F53" w14:paraId="601B17EE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AC1C0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BB077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BE6F53" w14:paraId="0E901659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71F74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28354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BE6F53" w14:paraId="7BEDDD59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B600F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սկիզբ (ամսաթիվ)`_______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50CDA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ավարտ`</w:t>
            </w:r>
            <w:r>
              <w:rPr>
                <w:rFonts w:eastAsia="Times New Roman"/>
                <w:sz w:val="20"/>
                <w:szCs w:val="20"/>
              </w:rPr>
              <w:br/>
              <w:t>__________________</w:t>
            </w:r>
          </w:p>
        </w:tc>
      </w:tr>
      <w:tr w:rsidR="00BE6F53" w14:paraId="28486931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6F51983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________________________________________________________________</w:t>
            </w:r>
          </w:p>
        </w:tc>
      </w:tr>
      <w:tr w:rsidR="00BE6F53" w14:paraId="5C65F72A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CF84B19" w14:textId="77777777" w:rsidR="00BE6F53" w:rsidRDefault="00BE6F53" w:rsidP="001F4B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Տնտեսավարող սուբյեկտի անվանումը</w:t>
            </w:r>
          </w:p>
        </w:tc>
      </w:tr>
      <w:tr w:rsidR="00BE6F53" w14:paraId="2CD0A801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3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296"/>
              <w:gridCol w:w="296"/>
              <w:gridCol w:w="296"/>
              <w:gridCol w:w="296"/>
              <w:gridCol w:w="296"/>
              <w:gridCol w:w="296"/>
              <w:gridCol w:w="296"/>
            </w:tblGrid>
            <w:tr w:rsidR="00BE6F53" w14:paraId="7138F527" w14:textId="77777777" w:rsidTr="001F4B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C7F47A" w14:textId="77777777" w:rsidR="00BE6F53" w:rsidRDefault="00BE6F53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FACD93" w14:textId="77777777" w:rsidR="00BE6F53" w:rsidRDefault="00BE6F53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AD77C4" w14:textId="77777777" w:rsidR="00BE6F53" w:rsidRDefault="00BE6F53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D85B3D" w14:textId="77777777" w:rsidR="00BE6F53" w:rsidRDefault="00BE6F53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312679" w14:textId="77777777" w:rsidR="00BE6F53" w:rsidRDefault="00BE6F53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9DDEB4" w14:textId="77777777" w:rsidR="00BE6F53" w:rsidRDefault="00BE6F53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7564B3" w14:textId="77777777" w:rsidR="00BE6F53" w:rsidRDefault="00BE6F53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A5018A" w14:textId="77777777" w:rsidR="00BE6F53" w:rsidRDefault="00BE6F53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3121DA3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ՀՎՀՀ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BC81E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Պետական ռեգիստրի վկայականի կամ գրանցման համարը</w:t>
            </w:r>
          </w:p>
        </w:tc>
      </w:tr>
      <w:tr w:rsidR="00BE6F53" w14:paraId="19195872" w14:textId="77777777" w:rsidTr="001F4B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BC9F89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գտնվելու վայրը</w:t>
            </w:r>
          </w:p>
        </w:tc>
        <w:tc>
          <w:tcPr>
            <w:tcW w:w="0" w:type="auto"/>
            <w:vAlign w:val="center"/>
            <w:hideMark/>
          </w:tcPr>
          <w:p w14:paraId="6E539F7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</w:t>
            </w:r>
            <w:r>
              <w:rPr>
                <w:rFonts w:eastAsia="Times New Roman"/>
                <w:sz w:val="20"/>
                <w:szCs w:val="20"/>
              </w:rPr>
              <w:br/>
              <w:t>      հեռախոս</w:t>
            </w:r>
          </w:p>
        </w:tc>
      </w:tr>
      <w:tr w:rsidR="00BE6F53" w14:paraId="17F3CA80" w14:textId="77777777" w:rsidTr="001F4B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62DA8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ղեկավարի կամ վստահված անձի ազգանուն, անուն, հայրանուն</w:t>
            </w:r>
          </w:p>
        </w:tc>
        <w:tc>
          <w:tcPr>
            <w:tcW w:w="0" w:type="auto"/>
            <w:vAlign w:val="center"/>
            <w:hideMark/>
          </w:tcPr>
          <w:p w14:paraId="7765D04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</w:t>
            </w:r>
            <w:r>
              <w:rPr>
                <w:rFonts w:eastAsia="Times New Roman"/>
                <w:sz w:val="20"/>
                <w:szCs w:val="20"/>
              </w:rPr>
              <w:br/>
              <w:t>հեռախոս</w:t>
            </w:r>
          </w:p>
        </w:tc>
      </w:tr>
      <w:tr w:rsidR="00BE6F53" w14:paraId="31F21CE8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EAC457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հանձնարարագիր_____________ում կողմից______________________________________________երբ է տրված____________________________________</w:t>
            </w:r>
          </w:p>
        </w:tc>
      </w:tr>
      <w:tr w:rsidR="00BE6F53" w14:paraId="65AFE347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304BC42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նպատակը/Ընդգրկված հարցերի համարներ_________________________________________________________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__________________________________________________________________</w:t>
            </w:r>
          </w:p>
        </w:tc>
      </w:tr>
    </w:tbl>
    <w:p w14:paraId="27AF0AF6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14455FD" w14:textId="77777777" w:rsidR="00BE6F53" w:rsidRDefault="00BE6F53" w:rsidP="00BE6F53">
      <w:pPr>
        <w:pStyle w:val="vhc"/>
        <w:rPr>
          <w:sz w:val="20"/>
          <w:szCs w:val="20"/>
        </w:rPr>
      </w:pPr>
      <w:r>
        <w:rPr>
          <w:sz w:val="20"/>
          <w:szCs w:val="20"/>
        </w:rPr>
        <w:t>ՀԱՐՑԱՇԱՐ</w:t>
      </w:r>
      <w:r>
        <w:rPr>
          <w:sz w:val="20"/>
          <w:szCs w:val="20"/>
        </w:rPr>
        <w:br/>
        <w:t>ՆԱՎԹԱՄԹԵՐՔՆԵՐԻ ՊԱՀԵՍՏՆԵՐԻ ՀԱՄԱՐ</w:t>
      </w:r>
    </w:p>
    <w:p w14:paraId="35A37D7D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0"/>
        <w:gridCol w:w="2575"/>
        <w:gridCol w:w="458"/>
        <w:gridCol w:w="351"/>
        <w:gridCol w:w="515"/>
        <w:gridCol w:w="1349"/>
        <w:gridCol w:w="1130"/>
        <w:gridCol w:w="1107"/>
        <w:gridCol w:w="845"/>
      </w:tblGrid>
      <w:tr w:rsidR="00BE6F53" w14:paraId="04D5BAD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1EF3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1F46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Հարցեր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9155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3835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376C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1858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Կշիռ 10 բալանի համակարգով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BFA2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Հղումներ նորմատիվ իրավական ակտերին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7DAD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տեսակը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2766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Մեկնա-</w:t>
            </w:r>
            <w:r>
              <w:rPr>
                <w:rFonts w:eastAsia="Times New Roman"/>
                <w:sz w:val="20"/>
                <w:szCs w:val="20"/>
              </w:rPr>
              <w:br/>
              <w:t>բանու-</w:t>
            </w:r>
            <w:r>
              <w:rPr>
                <w:rFonts w:eastAsia="Times New Roman"/>
                <w:sz w:val="20"/>
                <w:szCs w:val="20"/>
              </w:rPr>
              <w:br/>
              <w:t>թյուն</w:t>
            </w:r>
          </w:p>
        </w:tc>
      </w:tr>
      <w:tr w:rsidR="00BE6F53" w14:paraId="49A9BF5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66EA1E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D44F64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Շենքերին, շինություններին, տարածքներին ներկայացվող հրդեհային անվտանգության պահանջներ</w:t>
            </w:r>
          </w:p>
        </w:tc>
      </w:tr>
      <w:tr w:rsidR="00BE6F53" w14:paraId="3631637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E3E8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0A2C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Շինարարական հիմնատարրերը մշակված (տոգորված) են հրապաշտպան լուծույթով կամ պատվածքով և գտնվում են մշակման (տոգորման) ներգործության ժամկետների մեջ: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22DF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A766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D629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C7A3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9B34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E703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1;2;3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4099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4C99B4B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286B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68E7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Սանդղաբազուկների տակ գտնվող տարածքները ազատ են` չեն օգտագործվում առարկաների պահման համար: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54F3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CC9D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84DA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7752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72F1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 կետ 31, ենթակետ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5725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08BA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79AF803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7D6A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1D72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հա և ավելի չափերի բազաների (պահեստների) տարածքները հրշեջ ավտոմեքենաների համար ապահովված են ոչ պակաս քան երկու մուտքով: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6AB0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C4BE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8389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F5BF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6B55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կետ 5.36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6C7E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0D7B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4E89B8D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75CF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5F0D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Ավտոմոբիլային մուտքի դարպասների լայնությունը պակաս չէ 4,5 մետրից: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5D0D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95BF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9CB5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C080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BD80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կետ 5.37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B008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E95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43DD0B9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4157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7A95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Պահեստների տեղակայման տարածքները ապահովված են շանթարգելման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8D3F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85E4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5C8C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50F6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BCAD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գլուխ 17 կետ 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1625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65AF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28D2B2B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1EFA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4A18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Էլեկտրամատակարարումն անջատող սարքերը (անջատիչները) գտնվում են պահեստից դուրս: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6990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9969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2A17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9ACE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9C1E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27, կետ 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07B0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DB48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2F9E228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E3DD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74D2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Էլեկտրամատակարարումն անջատող սարքերը (անջատիչները) տեղադրված են չայրվող պատի կամ առանձին հենարանի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7A82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B025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4939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F466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DFD6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27 կետ 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FDDB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8B7C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70F0B29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F96D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9C0D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Էլեկտրամատակարարումն անջատող սարքերը տեղադրված են պահարանի մեջ: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7EE0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3F21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B2AE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8E15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A8EB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27 կետ 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1EBD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10CB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493A5F9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1732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C511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Պահեստային շինությունում չի օգտագործվում գազային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կամ էլեկտրաջեռուցիչ սարքեր: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01E6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BF61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DB16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C2B8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E320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27, կետ 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236E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0CEC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5D4C1BE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325C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E683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Բաց հարթակներում նյութի պահման դեպքում, յուրաքանչյուր հատվածամասի (դարսակի) մակերեսը ավել չէ 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1D78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6616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3CD4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7690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5D13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27 կետ 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2AD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3D62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7135B5B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6E5B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7D9A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Բաց հարթակներում նյութի պահման դեպքում դարսակների միջև պահպանված է առնվազն 6 մետր հակահրդեհային միջտարածություն: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4ACC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576C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BAA3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E7AC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8892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27, կետ 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19E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5803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0022710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A377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E39A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 և Բ կարգի սենքերում արտաքին պատող կոնստրուկցիաները դյուրանետ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7883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0EB0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4ADC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C77E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0980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«3», կետ 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45C5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6763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I*</w:t>
            </w:r>
          </w:p>
        </w:tc>
      </w:tr>
      <w:tr w:rsidR="00BE6F53" w14:paraId="6F529E5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455F66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0DB7CE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Նավթի և նավթամթերքների պահեստներին ներկայացվող պահանջներ</w:t>
            </w:r>
          </w:p>
        </w:tc>
      </w:tr>
      <w:tr w:rsidR="00BE6F53" w14:paraId="6A13538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0C72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4ACF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Նավթի, նավթամթերքների պահեստներից և դրանց շինություններից (այդ թվում նաև դյուրավառ հեղուկների տարողությունների պարկերից) մինչև հարևանությամբ գտնվող մյուս օբյեկտները պահանջվող միջտարածությունները պահպանված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D118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5EA3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7328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AF44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A5CA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«9», գլուխ 16, կետ 510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22F9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980E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II*</w:t>
            </w:r>
          </w:p>
        </w:tc>
      </w:tr>
      <w:tr w:rsidR="00BE6F53" w14:paraId="5762473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8E0B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2024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Նավթի, նավթամթերքների պահեստներից և դրանց շինություններից (այդ թվում նաև դյուրավառ հեղուկների տարողությունների պարկերից) միջև պահանջվող միջտարածությունները պահպանված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D6AC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64C1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26C4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153D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A035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«9», գլուխ 16, կետ 510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02A0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A2D2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III*</w:t>
            </w:r>
          </w:p>
        </w:tc>
      </w:tr>
      <w:tr w:rsidR="00BE6F53" w14:paraId="6C6D60C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0530F5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D7FD72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Տարայով պահում</w:t>
            </w:r>
          </w:p>
        </w:tc>
      </w:tr>
      <w:tr w:rsidR="00BE6F53" w14:paraId="1C2F41A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7D22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5B37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Պահեստներում այրվող և դյուրավառ հեղուկներով տակառների ձեռքով տեղադրման դեպքում, դրանք դասավորվում են հատակին ոչ ավել քան 2 շարքով: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3279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27E4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38A5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FF57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7B9D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28, կետ 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1DD2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EE04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4BFEA55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6D4D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15F1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Պահեստներում դյուրավառ հեղուկներով տակառների մեքենայացված տեղադրման դեպքում դրանք դասավորվում են հատակին 3-ից ոչ ավել շարքերով: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A5E7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68B9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5043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01B0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8F1D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28, կետ 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1D3D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7BA3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6C5697E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AF08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920D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Տարայով նավթամթերքների պահման բաց հարթակները թմբապատված են 0,5 մետր բարձրությամբ թեք հարթակներով կամ հոծ չայրվող պատով: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C9BE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5398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C65E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F214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D1F2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28, կետ 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1CE9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A7D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6663715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F618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E1AD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Յուրաքանչյուր թմբապատված հարթակի սահմանում միմյանցից ոչ պակաս քան 5 մետր հեռավորության վրա տեղակայված է ոչ ավելի քան 4 դարսակ: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881E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D101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EA4D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669D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7AE4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28, կետ 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6C59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646B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05BEB12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FBEB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36CF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Հարթակների վրա ծածկերը իրականացված են չայրվող նյութերից: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7D8F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BF73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6DCC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FBCA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5BCF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28, կետ 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F4F8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BF62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351D975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F9ED22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AF005D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ճանապարհներ</w:t>
            </w:r>
          </w:p>
        </w:tc>
      </w:tr>
      <w:tr w:rsidR="00BE6F53" w14:paraId="1A234BE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4F82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16F9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ճանապարհների պատերը և առաստաղները երեսապատված են չայրվող շինանյութով: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3229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2C4C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1DC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345F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FC7E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41,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4EB7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937E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5C28163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3975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2985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Տարահանման ճանապարհները ազատ են` ապահովված է մարդկանց անարգել տեղաշարժը: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AF50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6186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4117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F1CC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1007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3, կետ 41, ենթակետ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C028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A472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E6F53" w14:paraId="11B7D4A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8B8D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7AB7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ելքերի դռները բացվում են դեպի դուրս: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9667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BED1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2943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D09A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909D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A53F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5129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4F72FDE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4AB7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27D3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Շենքից տարահանման ելքերի քանակը պակաս չէ երկուսից, եթե դրանում տեղավորված են սենքեր, որոնք պետք է ունենան ոչ պակաս քան տարահանման երկու ելք: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AC5C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152F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9472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C0A4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1F39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BE15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0CAD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IV*</w:t>
            </w:r>
          </w:p>
        </w:tc>
      </w:tr>
      <w:tr w:rsidR="00BE6F53" w14:paraId="1811A67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2CE8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8C09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Դարակաշարերի միջև յուրաքանչյուր 40 մ մեկ նախատեսված է 1,5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մետրից ոչ պակաս լայնությամբ անցումներ: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1549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823A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D0AB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2210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8A7C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«4», կետ 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998F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F335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4F6A526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82BE17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6769CC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Էլեկտրասարքավորումներին ներկայացվող հրդեհային անվտանգության պահանջներ</w:t>
            </w:r>
          </w:p>
        </w:tc>
      </w:tr>
      <w:tr w:rsidR="00BE6F53" w14:paraId="4A043A3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7B21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7646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Հրդեհավտանգ հիմնատարրերով տանիքների վրայով օդային էլեկտրահաղորդման գծեր և արտաքին էլեկտրագծեր անցկացված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2E98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4D4E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8701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0275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16B4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C56C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9288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6797412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9A61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5D25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Լուսավորության շղթաների սնման և կառավարման մալուխները առանձնացված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240F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3583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D01E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F3B1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B777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3D9D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8E85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2D369F9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A66C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6C22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Էլեկտրասարքավորումները մոնտաժվել և շահագործվում են էլեկտրական սարքավորումների տեղակայման կանոնների համաձայն: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4344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6724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A78D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9A2C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740C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4, կետ 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CF5D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160A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E6F53" w14:paraId="0B5151D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46BE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C117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Տարահանման ճանապարհներին մոնտաժված են վթարային լուսավորության լուսատուներ և ելք ցույց տվող ցուցանակներ: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639C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3485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B1D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500C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AFE4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հավելված 1, գլուխ 2, կետ 10, «11», գլուխ 6, կետեր 208, 212, 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A920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22B3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E6F53" w14:paraId="093C609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DBC6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0F18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Լուսատուներից մինչև այրվող նյութից պատրաստված կառուցվածքները և իրերը նախատեսված է ոչ պակաս քան 0,5 մետր հեռավորություն: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F113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4AC9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E2AD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E825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A8C8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52, 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E2A4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8BCB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3A5220A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C517B5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CF551D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Ջեռուցման և օդափոխման համակարգերին ներկայացվող հրդեհային անվտանգության պահանջներ</w:t>
            </w:r>
          </w:p>
        </w:tc>
      </w:tr>
      <w:tr w:rsidR="00BE6F53" w14:paraId="33223B6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B047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882E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Ջեռուցման համար օգտագործվում են գործարանային արտադրության սարքեր: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3DBF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AAE6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29D2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4EB3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0805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837A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D299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0CA8B31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D062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1E10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Օդափոխիչ համակարգի ինքնաշխատ անջատման սարքավորումները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3BC9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6B2E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A8E7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8C58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D778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00A9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3ABF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2A084BA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A5D9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DEC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Վառարանային ջեռուցման սարքավորումների շահագործման ժամանակ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ծխահեռացումը չի իրականացվում օդափոխման և գազային անցուղիներով: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2E38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FF2E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69D1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5BAB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921B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5, կետ 62,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094B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64C4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077ED13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B313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AF16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Այրման արգասիքների թափանցումը սենքեր կանխելու նպատակով օդատարերի վրա տեղադրված են հրակասեցնող կափույրներ: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AE22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258F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CE0E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D464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DE06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«6», գլուխ 7, կետ 7.11.1, ենթակետ 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64B0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7FD5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7D87EC3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DFAD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BB56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Շենքի միջանցքներում տեղակայված է հակածխային պաշտպանության համակարգ: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A56C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0ED6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FAC8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BA94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95BE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«6», գլուխ 8, կետ 8.2, ենթակետ 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7DB0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B60A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4E893E8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CE18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3D34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 մակերեսով բնական լուսավորություն չունեցող սենքերում տեղակայված է հակածխային պաշտպանության համակարգ: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D143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DA8D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3540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AE65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4272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«6», գլուխ 8, կետ 8.2, ենթակետ 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E9A7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8DA3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1C2FF2F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230E89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9577BA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ջրամատակարարման ցանցեր</w:t>
            </w:r>
          </w:p>
        </w:tc>
      </w:tr>
      <w:tr w:rsidR="00BE6F53" w14:paraId="39FEA6B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7CB4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E912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Շինություններին (այդ թվում նաև հակահրդեհային ջրամատակարարման աղբյուրներին) հրշեջ փրկարարական ուժերի և միջոցների մոտեցումը ստուգվողի կողմից փակված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352B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9369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0C96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A457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794B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FEF1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4265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4A0F0E5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E007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595A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Արտաքին հրդեհաշիջման համար օբյեկտների տարածքում կամ դրանց մոտակայքում (200 մ շառավղով) նախատեսված է առնվազն 1 հրշեջ հիդրանտ կամ նվազագույնը 54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 տարողությամբ հակահրդեհային ջրավազան: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9E94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70D9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0B70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9DC8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E439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«10», գլուխ 5, կետեր 29, 45, գլուխ 11 կետ 602 և գլուխ 12 կետ 713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2FCB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71AE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0334FE2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703D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A305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-ից ավելի ծավալով պահեստային շենքերը սարքավորված են հրշեջ ծորակներով կահավորված ներքին հակահրդեհային ջրացանցով այնպես, որ յուրաքանչյուր կետ ցողվի 2X2,5 լ/վրկ ջրի շիթով: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D0AB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FEBA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0978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2B81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D293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«8», կետ 61, աղյուսակ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2FB2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A98C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0E81ED7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7573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AB20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Հակահրդեհային ջրամատակարարման ցանցի վրա տեղակայված հրշեջ ծորակները համալրված են փողակով և փողրակով: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C927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C4DB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EB8A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DCD1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17B3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6, կետ 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1C07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2090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E6F53" w14:paraId="065D1FC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F115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847A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Շենքում տեղադրված 12 և ավելի հակահրդեհային ծորակների առկայության դեպքում ներքին հակահրդեհային ջրագիծը միացված է արտաքին օղակավորված ջրագծի տարբեր տեղամասերին երկու մուտքագծով: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111A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0156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1FE6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9F4D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3794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«8», կետ 101, 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0B34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B32E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58EF535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D9947B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C60642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ազդանշանման և հրդեհաշիջման համակարգեր</w:t>
            </w:r>
          </w:p>
        </w:tc>
      </w:tr>
      <w:tr w:rsidR="00BE6F53" w14:paraId="78E58CC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CC6E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89D9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Կախված մակերեսի չափերից պահեստները սարքավորված են հրդեհաշիջման ինքնաշխատ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33AF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A190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E1E3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92E0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8399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5DE0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35E4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V*</w:t>
            </w:r>
          </w:p>
        </w:tc>
      </w:tr>
      <w:tr w:rsidR="00BE6F53" w14:paraId="28D8F4F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7BD1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CDCF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Կախված մակերեսի չափերից պահեստները սարքավորված են հրդեհի ազդանշանման ինքնաշխատ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5B48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AFC0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45F3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6327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B363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B587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D6C1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V*</w:t>
            </w:r>
          </w:p>
        </w:tc>
      </w:tr>
      <w:tr w:rsidR="00BE6F53" w14:paraId="7AE9CD2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B878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ACB9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ինքնաշխատ համակարգերից հրդեհի տագնապի ազդանշանը փոխանցվում է լիազոր մարմնին: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1244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9185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6F6E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AE91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CE3C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B53F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1CCC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6665AC6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0405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1F88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Հակահրդեհային ինքնաշխատ համակարգերը մոնտաժված են նորմերին համապատասխան և գտնվում են սարքին վիճակում: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8AE5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5CC4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B676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A0A7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07EB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7, կետեր 81,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9827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E656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38F0B11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595141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IX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33164B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Հրդեհաշիջման սկզբնական միջոցներ</w:t>
            </w:r>
          </w:p>
        </w:tc>
      </w:tr>
      <w:tr w:rsidR="00BE6F53" w14:paraId="1C82186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5C00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59BA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Օբյեկտն ապահովված է հրդեհաշիջման սկզբնական միջոցներով: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007F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F5DF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4732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3196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35E8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VIII, կետ 504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DA15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3EAC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VI*</w:t>
            </w:r>
          </w:p>
        </w:tc>
      </w:tr>
      <w:tr w:rsidR="00BE6F53" w14:paraId="58F6528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FE26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DEE0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«Ա», «Բ», «Վ» կարգի շինություններում կրակմարիչները տեղադրված են հրդեհի հնարավոր օջախներից 30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մետրից ոչ ավելի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13D2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3433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5F36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7F4F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D57D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VIII, կետ 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F77B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1AD6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6C65A38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CC83C6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8C36E2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Տեխնիկական անվտանգության ապահովում</w:t>
            </w:r>
          </w:p>
        </w:tc>
      </w:tr>
      <w:tr w:rsidR="00BE6F53" w14:paraId="5D3CDCA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EAE2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C1F2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Առկա է արտադրական վտանգավոր օբյեկտը արտադրական վտանգավոր օբյեկտների ռեեստրում գրանցման վկայականը: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073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59FF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6E8E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0B5E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F91F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«7», հոդված 19, մաս 1, կետ ժդ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0C24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9BAB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62F0708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A4BF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0ECE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Արտադրական վտանգավոր օբյեկտում առկա է տեխնիկական անվտանգության ամենամյա փորձաքննության եզրակացություն: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DB0F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ACA2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8F1A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BB78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CE62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«7», հոդված 11, մաս 6, հոդված 19, մաս 1, կետ ժբ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52DE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F82F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14:paraId="3D1A842D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54"/>
        <w:gridCol w:w="2598"/>
      </w:tblGrid>
      <w:tr w:rsidR="00BE6F53" w14:paraId="6BD079AD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4D799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Ծանոթագրություն: Նախավերջին սյունակում</w:t>
            </w:r>
          </w:p>
        </w:tc>
        <w:tc>
          <w:tcPr>
            <w:tcW w:w="0" w:type="auto"/>
            <w:vAlign w:val="center"/>
            <w:hideMark/>
          </w:tcPr>
          <w:p w14:paraId="603EFF2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1-փաստաթղթային ստուգում</w:t>
            </w:r>
          </w:p>
        </w:tc>
      </w:tr>
      <w:tr w:rsidR="00BE6F53" w14:paraId="66A92CA5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D8C64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3A6E6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2-ակնադիտարկում</w:t>
            </w:r>
          </w:p>
        </w:tc>
      </w:tr>
      <w:tr w:rsidR="00BE6F53" w14:paraId="5CC9D0C0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2292A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5FF86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3-լաբորատոր ստուգում</w:t>
            </w:r>
          </w:p>
        </w:tc>
      </w:tr>
    </w:tbl>
    <w:p w14:paraId="455A4937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"/>
        <w:gridCol w:w="5356"/>
        <w:gridCol w:w="295"/>
        <w:gridCol w:w="295"/>
        <w:gridCol w:w="295"/>
      </w:tblGrid>
      <w:tr w:rsidR="00BE6F53" w14:paraId="337812D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7994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0DC0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«Այո»-այո,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646E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AA22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C49C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493145F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6B17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4194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«Ոչ»-ոչ,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963F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E0CD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09BA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1651865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4FF5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3E5A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«Չ/պ»-չի պահանջվում, չի վերաբերում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DEAA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EB40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D10F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</w:tr>
    </w:tbl>
    <w:p w14:paraId="509B7592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6FA4431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rStyle w:val="Strong"/>
          <w:sz w:val="20"/>
          <w:szCs w:val="20"/>
        </w:rPr>
        <w:t>Տվյալ ստուգաթերթը կազմվել է հետևյալ նորմատիվ փաստաթղթերի հիման վրա.</w:t>
      </w:r>
    </w:p>
    <w:p w14:paraId="7A170A0D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«1» - ՀԱԿ «Հրդեհային անվտանգության կանոններ» - հաստատված ՀՀ ՏԿԱԻ նախարարի 2015 թվականի հունիսի 18-ի թիվ 595-Ն հրամանով, հավելված 1</w:t>
      </w:r>
    </w:p>
    <w:p w14:paraId="60E99779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«2» - ՀՀՇՆ III-9.02-02-03 «Արդյունաբերական կազմակերպությունների գլխավոր հատակագծեր»</w:t>
      </w:r>
    </w:p>
    <w:p w14:paraId="7C64D572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«3» - ՀՀՇՆ IV-11.03.01-04 «Արտադրական շենքեր»</w:t>
      </w:r>
    </w:p>
    <w:p w14:paraId="435D641C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«4» -ՀՀՇՆ IV-11.03.02-04 «Պահեստային շենքեր»</w:t>
      </w:r>
    </w:p>
    <w:p w14:paraId="70D65D03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«5» - ՀՀՇՆ 21-01-2014 «Շենքերի և շինությունների հրդեհային անվտանգություն»</w:t>
      </w:r>
    </w:p>
    <w:p w14:paraId="6ABB29EF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«6» - ՀՀՇՆ IV-12.02.01-04 «Ջեռուցում, օդափոխում և օդի լավորակում»</w:t>
      </w:r>
    </w:p>
    <w:p w14:paraId="29449AC1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«7» - «Տեխնիկական անվտանգության ապահովման պետական կարգավորման մասին» ՀՀ օրենք ընդունված է 2005 թվականի հոկտեմբերի 24-ին</w:t>
      </w:r>
    </w:p>
    <w:p w14:paraId="47F1AB4A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«8» - ՀՀՇՆ 40-01.01-2014 «Շենքերի ներքին ջրամատակարարում և ջրահեռացում»</w:t>
      </w:r>
    </w:p>
    <w:p w14:paraId="1D45132C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«9» - ՀՀՇՆ 30-01-2023 «Քաղաքաշինություն. Քաղաքային և գյուղական բնակավայրերի հատակագծում և կառուցապատում»: </w:t>
      </w:r>
    </w:p>
    <w:p w14:paraId="7DFD37ED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«10» - ՀՀՇՆ 40.01.02-2020 «Ջրամատակարարում. Արտաքին ցանցեր և կառուցվածքներ»</w:t>
      </w:r>
    </w:p>
    <w:p w14:paraId="76578118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«11» - ՀՀՇՆ 22-03-2017 «Արհեստական և բնական լուսավորում» </w:t>
      </w:r>
    </w:p>
    <w:p w14:paraId="16007B9E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B9326A7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rStyle w:val="Strong"/>
          <w:sz w:val="20"/>
          <w:szCs w:val="20"/>
        </w:rPr>
        <w:t>I*- Շինությունների պայթյունահրդեհավտանգավորության կարգը.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727"/>
        <w:gridCol w:w="4375"/>
      </w:tblGrid>
      <w:tr w:rsidR="00BE6F53" w14:paraId="29C724C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EAEB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2228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2C89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Շենքերում և սենքերում գտնվող նյութերի բնութագիր</w:t>
            </w:r>
          </w:p>
        </w:tc>
      </w:tr>
      <w:tr w:rsidR="00BE6F53" w14:paraId="7E1DA2D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99AF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9C41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«Ա» պայթյու-</w:t>
            </w:r>
            <w:r>
              <w:rPr>
                <w:rFonts w:eastAsia="Times New Roman"/>
                <w:sz w:val="20"/>
                <w:szCs w:val="20"/>
              </w:rPr>
              <w:br/>
              <w:t>նահրդեհավտանգ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3F36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 xml:space="preserve">C-ից ոչ ավել բռնկման ջերմաստիճան ունեցող այրվող գազեր, դյուրավառ հեղուկներ`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այն քանակությամբ, որ կարող են ստեղծել պայթյունավտանգ օդագազագոլորշային խառնուրդներ, որոնց բռնկման ժամանակ շինությունում առաջանում է 5 կիլոպասկալը գերազանցող պայթյունի հաշվարկային ավելցուկային ճնշում: Ջրի, օդի, թթվածնի և միմյանց հետ փոխազդելիս պայթելու և այրվելու ընդունակ նյութեր այն քանակությամբ, երբ առաջանում է 5 կիլոպասկալը գերազանցող պայթյունի հաշվարկային ավելցուկային ճնշում:</w:t>
            </w:r>
          </w:p>
        </w:tc>
      </w:tr>
      <w:tr w:rsidR="00BE6F53" w14:paraId="1D1F1A0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CE59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01FB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«Բ» պայթյու-</w:t>
            </w:r>
            <w:r>
              <w:rPr>
                <w:rFonts w:eastAsia="Times New Roman"/>
                <w:sz w:val="20"/>
                <w:szCs w:val="20"/>
              </w:rPr>
              <w:br/>
              <w:t>նահրդեհավտանգ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E0EE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C-ից ոչ ավել բռնկման ջերմաստիճան ունեցող այրվող փոշիներ կամ մանրաթելեր, այրվող հեղուկներ` այն քանակությամբ, որ կարող են ստեղծել պայթյունավտանգ փոշեօդային կամ օդագոլորշային խառնուրդներ, որոնց բռնկման ժամանակ շինությունում, առաջանում է 5 կիլոպասկալը գերազանցող պայթյունի հաշվարկային ավելցուկային ճնշում:</w:t>
            </w:r>
          </w:p>
        </w:tc>
      </w:tr>
      <w:tr w:rsidR="00BE6F53" w14:paraId="72B5FAD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62B0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E678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«Վ» հրդեհավտանգ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60BF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Դյուրավառ, այրվող և դժվար այրվող հեղուկներ, կոշտ այրվող և դժվար այրվող նյութեր: Նյութեր, որոնք ընդունակ են միայն այրվել ջրի, օդի թթվածնի կամ միմյանց հետ փոխազդելիս, պայմանով, որ այն շինությունները, որտեղ դրանք առկա են չեն պատկանում «Ա» կամ «Բ» կարգերին: </w:t>
            </w:r>
          </w:p>
        </w:tc>
      </w:tr>
      <w:tr w:rsidR="00BE6F53" w14:paraId="502CD4B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4EA7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3A17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«Գ»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6EC1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Տաք, շիկացած կամ հալված վիճակում գտնվող չայրվող նյութեր, որոնց մշակումը ուղեկցվում է ճառագայթային ջերմություն, կայծի և բոցի անջատմամբ: Այրվող գազեր, հեղուկներ և կոշտ նյութեր, որոնք օգտագործվում են, որպես վառելանյութ:</w:t>
            </w:r>
          </w:p>
        </w:tc>
      </w:tr>
      <w:tr w:rsidR="00BE6F53" w14:paraId="32211C2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A96C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72B1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«Դ»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D8A5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Սառը վիճակում գտնվող չայրվող նյութեր:</w:t>
            </w:r>
          </w:p>
        </w:tc>
      </w:tr>
    </w:tbl>
    <w:p w14:paraId="3B41B0E7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22C5240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II*- Նավթի, նավթամթերքների պահեստներից և դրանց շինություններից (այդ թվում նաև դյուրավառ հեղուկների տարողությունների պարկերից) մինչև հարևանությամբ գտնվող մյուս օբյեկտները պահանջվող միջտարածությունները.</w:t>
      </w:r>
    </w:p>
    <w:p w14:paraId="595C5444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3151"/>
        <w:gridCol w:w="1399"/>
        <w:gridCol w:w="1552"/>
      </w:tblGrid>
      <w:tr w:rsidR="00BE6F53" w14:paraId="79E17974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9879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2E83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շինություններ և այլ օբյեկտներ, որոնցից որոշվում է հեռավորությունը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29F2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Պահեստների (ըստ կատեգորիայի) շենքերից և շինություններից հեռավորությունը, մ,</w:t>
            </w:r>
          </w:p>
        </w:tc>
      </w:tr>
      <w:tr w:rsidR="00BE6F53" w14:paraId="248ED70D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D5DD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6B18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5D53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0C5B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II, III</w:t>
            </w:r>
          </w:p>
        </w:tc>
      </w:tr>
      <w:tr w:rsidR="00BE6F53" w14:paraId="45E2839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CDD1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9E31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Հարևան հիմնարկների շենքեր և շինություններ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C43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A650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BE6F53" w14:paraId="1475136F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F7E6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18FB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Անտառային զանգվածներ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20AF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C3A4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1F847E5C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7480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382B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ա) սաղարթավոր ծառատեսակներ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BAE6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F921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BE6F53" w14:paraId="18448F26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0488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AD98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բ) փշատերև ծառատեսակներ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7E74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FB94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BE6F53" w14:paraId="66EE76C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465E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6BC4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Անտառանյութի, թելքավոր նյութերի, խոտի, ծղոտի պահեստներ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24D8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439E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BE6F53" w14:paraId="2940142C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FE05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F972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Ընդհանուր նշանակության երկաթգծեր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733B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817A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342E2E59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29FC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9175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ա) կայարաններում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17AB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C852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</w:tr>
      <w:tr w:rsidR="00BE6F53" w14:paraId="27B0FFD4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4D0E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E9C6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բ) կիսակայարաններում և փոքրիկ երկաթուղակայաններում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2487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320D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</w:tr>
      <w:tr w:rsidR="00BE6F53" w14:paraId="3A2A0125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3224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816A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գ) կայարանամեջում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ACCD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1B78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BE6F53" w14:paraId="4EDFC2FB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AB94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3255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Ընդհանուր նշանակության ավտոճանապարհներ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C9CA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36E6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E6F53" w14:paraId="31DFDC85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7F54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A1D7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Միջպետական, հանրապետական և տեղական նշանակության ճանապարհներ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9CC6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45C2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BE6F53" w14:paraId="486332AB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BB56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C120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Գյուղական նշանակության ճանապարհներ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B907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333B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BE6F53" w14:paraId="53C9D30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B9F6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E8DE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Բնակավայրերի բնակելի և հասարակական շենքեր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7ABB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2830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BE6F53" w14:paraId="5124A5A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1769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FE19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Ընդհանուր օգտագործման բենզալցավորման կայանների լցարկիչներ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E2A0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05C6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BE6F53" w14:paraId="29C12EF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36B7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2A0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Էլեկտրահաղորդման օդային գծեր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FA6D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Էլեկտրահաղորդման օդային գծեր հենասյան 1,5 բարձրությունը</w:t>
            </w:r>
          </w:p>
        </w:tc>
      </w:tr>
    </w:tbl>
    <w:p w14:paraId="7333D341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63C6BC9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III* - Նավթի, նավթամթերքների պահեստներից և դրանց շինություններից (այդ թվում նաև դյուրավառ հեղուկների տարողությունների պարկերից) միջև պահանջվող միջտարածությունները պահպանված են:</w:t>
      </w:r>
    </w:p>
    <w:p w14:paraId="76FFCB91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ա) հարևան խմբերում տեղակայված վերգետնյա ամենամոտ տարողությունների պատերի միջև միջտարածությունները փոքր չէ 40 մետրից,</w:t>
      </w:r>
    </w:p>
    <w:p w14:paraId="4E3179CD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հարևան խմբերում տեղակայված ստորգետնյա ամենամոտ տարողությունների պատերի միջև միջտարածությունները փոքր չէ 15 մ-ից,</w:t>
      </w:r>
    </w:p>
    <w:p w14:paraId="5B1A9EB0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տարաներով դյուրավառ հեղուկներ պահելու համար նախատեսված շենքերի բարձրությունը չի գերազանցում մեկ հարկից,</w:t>
      </w:r>
    </w:p>
    <w:p w14:paraId="2746B163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դ) միևնույն շինությունում տարաներով համատեղ պահվող այրվող և դյուրավառ հեղուկների ընդհանուր քանակությունը չի գերազանցում 200 մ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-ը,</w:t>
      </w:r>
    </w:p>
    <w:p w14:paraId="5E0FE892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ե) Նավթամթերքի բեռնաթափման և բեռնման փակուղային երկաթգծի երկարությունը ավել է երկաթուղային շարժակազմի վերջին վագոնից 30 մ-ով,</w:t>
      </w:r>
    </w:p>
    <w:p w14:paraId="235A1F6E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զ) Նավթի և նավթամթերքի բեռնաթափման և բեռնման էստակադաները երկու կողմից ունեն չայրվող նյութերից աստիճաններ:</w:t>
      </w:r>
    </w:p>
    <w:p w14:paraId="53747223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54B84E1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IV*- Ոչ պակաս քան տարահանման երկու ելք պետք է ունենան.</w:t>
      </w:r>
    </w:p>
    <w:p w14:paraId="2D356F40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ա) տաս մարդուց ավելի միաժամանակյա ներկայության համար նախատեսված մանկական նախադպրոցական հիմնարկների, բնակչության սոցիալական պաշտպանության հաստատություններ և համայնքային փոքր տների, հիվանդանոցների, ինտերնատ-դպրոցների և մանկական հիմնարկների ննջարանային մասնաշենքերի սենքերը, </w:t>
      </w:r>
    </w:p>
    <w:p w14:paraId="75F9B6F9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տասնհինգ մարդուց ավելի միաժամանակյա ներկայության համար նախատեսված նկուղային և ցոկոլային հարկերի սենքերը, 50 մարդուց ավելի միաժամանակյա ներկայության համար նախատեսված սենքերը,</w:t>
      </w:r>
    </w:p>
    <w:p w14:paraId="07ED6EAA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lastRenderedPageBreak/>
        <w:t>գ) առավել բազմաթիվ հերթափոխում հինգ մարդուց ավելի աշխատողների թվաքանակով արդյունաբերական և պահեստային շենքերի, կառուցվածքների Ա և Բ կարգի սենքերը, 25 մարդուց ավելի - Վ կարգի կամ 1000մ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մակերեսով սենքերը,</w:t>
      </w:r>
    </w:p>
    <w:p w14:paraId="3ABB1B24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դ) Արդյունաբերական և պահեստային շենքերի, կառուցվածքների բաց հարկաշարերը և հարթակները, նախատեսված սարքավորման սպասարկման համար, Ա և Բ կարգի սենքերի համար - 100մ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հարկաբաժնի հատակի մակերեսի դեպքում և 400մ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- այլ կարգի սենքերի համար,</w:t>
      </w:r>
    </w:p>
    <w:p w14:paraId="370D1470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ե) երկու հարկերում (մակարդակներում) տեղադրված բազմաբնակարան բնակելի շենքերի սենքերը (բնակարանները), վերին հարկի տեղադրման 18 մ-ից ավելի բարձրության դեպքում, դրանք պետք է ունենան տարահանման ելքեր յուրաքանչյուր հարկից:</w:t>
      </w:r>
    </w:p>
    <w:p w14:paraId="0BD5D6CC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59DF5E0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V*- Հրդեհաշիջման և հրդեհի ազդանշանման ինքնաշխատ համակարգերով օբյեկտների համալրման չափանիշներն են.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38"/>
        <w:gridCol w:w="1918"/>
        <w:gridCol w:w="1185"/>
      </w:tblGrid>
      <w:tr w:rsidR="00BE6F53" w14:paraId="2625286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E5AD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Պահպանվող օբյեկտների տեսակը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F69A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Պահանջվող հակահրդեհային համակարգեր</w:t>
            </w:r>
          </w:p>
        </w:tc>
      </w:tr>
      <w:tr w:rsidR="00BE6F53" w14:paraId="5BD005A7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CA1A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19AF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ՀՀԱԻԿ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3E5B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ՀՏԱԻՀ և ՀՏԱՓԻՀ</w:t>
            </w:r>
          </w:p>
        </w:tc>
      </w:tr>
      <w:tr w:rsidR="00BE6F53" w14:paraId="58A5C79C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5C90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E314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Նորմատիվ ցուցանիշներ</w:t>
            </w:r>
          </w:p>
        </w:tc>
      </w:tr>
      <w:tr w:rsidR="00BE6F53" w14:paraId="08DABE6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7A2E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Հրդեհային անվտանգության «Վ» կարգի 5,5 մետր և ավելի բարձրությամբ դարակաշարերով պահեստային շենքեր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0919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 և հարկայնությունից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D3D0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BE6F53" w14:paraId="4E6EDDD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6A01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Հրդեհային անվտանգության «Վ» կարգի 2 և ավելի հարկերով (բացառությամբ 1 կետում նշվածներից) պահեստային շենքեր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7D70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06D5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BE6F53" w14:paraId="322E660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0A50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30 մ-ից ավելի բարձրությամբ շենքեր (բացառությամբ բնակելի և հրդեհային անվտանգության «Գ» և «Դ» կարգի արտադրական շենքերից):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7819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3505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BE6F53" w14:paraId="27404E35" w14:textId="77777777" w:rsidTr="001F4BB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C485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Այրելի պոլիմերային ջերմամեկուսիչներով և մետաղական թեթև կառուցատարրերով միահարկ շենքեր</w:t>
            </w:r>
          </w:p>
        </w:tc>
      </w:tr>
      <w:tr w:rsidR="00BE6F53" w14:paraId="59461A8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512D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4.1. Վարչակենցաղային նշանակության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13FF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FA97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BE6F53" w14:paraId="3946084C" w14:textId="77777777" w:rsidTr="001F4BB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53A2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 Առևտրի ձեռնարկությունների շենքեր (բացառությամբ ավտոմեքենաների համար շենքերի և շինությունների սենքերի, մրգերի և բանջարեղենի, ձկան և մսի պահպանման (չայրվող փաթեթավորման մեջ) և վաճառքի նախապատրաստման, մետաղական տարաների, չայրվող շինարարական նյութերի սենքերի).</w:t>
            </w:r>
          </w:p>
        </w:tc>
      </w:tr>
      <w:tr w:rsidR="00BE6F53" w14:paraId="501A878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922C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5.1. Դյուրաբոցավառ և այրելի հեղուկների վաճառքի մասնագիտացված առևտրի ձեռնարկությունների շենքեր (բացառությամբ 20լ ոչ ավելի տարողությամբ տարայով կշռաբաշխված ապրանքների)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7031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EF71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BE6F53" w14:paraId="07FA6B9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EDD4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 Պայթյունահրդեհային վտանգավորության «Ա» և «Բ» կարգերի պահեստային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նշանակության սենքեր (բացառությամբ սենքերի, որոնք տեղակայված են հացահատիկի պահպանման և վերամշակման համար շենքերում և շինություններում)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CABD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91AE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BE6F53" w14:paraId="4F0A24B6" w14:textId="77777777" w:rsidTr="001F4BB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F090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 Հրդեհային վտանգավորության Վ1 կատեգորիայի (սենքերի, որոնք տեղակայված են հացահատիկի պահպանման և վերամշակման համար շենքերում և շինություններում), դրանք հարկերում տեղակայման դեպքում.</w:t>
            </w:r>
          </w:p>
        </w:tc>
      </w:tr>
      <w:tr w:rsidR="00BE6F53" w14:paraId="3E6B47D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F4BC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7.1. Նկուղային և կիսանկուղային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B268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2C27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BE6F53" w14:paraId="32D0D92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0D40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7.2. Վերգետնյա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4171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5DC4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BE6F53" w14:paraId="0C999461" w14:textId="77777777" w:rsidTr="001F4BB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67D1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 Հրդեհային վտանգավորության Վ2-Վ3 կատեգորիայի (բացառությամբ սենքերի, որոնք տեղակայված են հացահատիկի պահպանման և վերամշակման համար շենքերում և շինություններում), դրանք հարկերում տեղակայման դեպքում.</w:t>
            </w:r>
          </w:p>
        </w:tc>
      </w:tr>
      <w:tr w:rsidR="00BE6F53" w14:paraId="59CABEC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E097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8.1. Նկուղային և կիսանկուղային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E8F0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19CD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BE6F53" w14:paraId="316F005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55D2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8.2. Վերգետնյա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3E6A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5739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</w:tbl>
    <w:p w14:paraId="0A6C6605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B927693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VI*- Շենքերը և շինությունները ձեռքի կրակմարիչներով ապահովելու չափանիշները ներկայացված են ստորև ներկայացված աղյուսակներում.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556"/>
        <w:gridCol w:w="1437"/>
        <w:gridCol w:w="790"/>
        <w:gridCol w:w="1500"/>
        <w:gridCol w:w="363"/>
        <w:gridCol w:w="476"/>
        <w:gridCol w:w="476"/>
        <w:gridCol w:w="983"/>
        <w:gridCol w:w="443"/>
        <w:gridCol w:w="590"/>
      </w:tblGrid>
      <w:tr w:rsidR="00BE6F53" w14:paraId="04D12A7B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BDE6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0497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F6CF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Պաշտպանվող սահմանային մակերեսը,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3260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7AC1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Փրփրային և ջրային կրակմարիչներ 10 լ տարողությամբ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1F9B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Փոշային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ղությամբ, լ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6025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Ֆրեո-</w:t>
            </w:r>
            <w:r>
              <w:rPr>
                <w:rFonts w:eastAsia="Times New Roman"/>
                <w:sz w:val="20"/>
                <w:szCs w:val="20"/>
              </w:rPr>
              <w:br/>
              <w:t>նային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2(3) լ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50FF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Ածխա-</w:t>
            </w:r>
            <w:r>
              <w:rPr>
                <w:rFonts w:eastAsia="Times New Roman"/>
                <w:sz w:val="20"/>
                <w:szCs w:val="20"/>
              </w:rPr>
              <w:br/>
              <w:t>թթվային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մարիչներ,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 լ.</w:t>
            </w:r>
          </w:p>
        </w:tc>
      </w:tr>
      <w:tr w:rsidR="00BE6F53" w14:paraId="3A67DB60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75E5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A14A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7329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CC89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7F48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D280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467F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5FC2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804B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9CD6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AAC7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5(8)</w:t>
            </w:r>
          </w:p>
        </w:tc>
      </w:tr>
      <w:tr w:rsidR="00BE6F53" w14:paraId="27A6110A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7D2E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2F0B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Ա.Բ.Վ. այրվող գազեր և հեղուկներ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A501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E41B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BE36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F725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1FC3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5EC4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623E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C330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2C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6F53" w14:paraId="4B10E40E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870D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CE70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6EC7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AD95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1A4D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DC71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A8D7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3356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56CD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D509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8AA0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6F53" w14:paraId="06C3B163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9C86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AC12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1FBC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48A4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9E49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2648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8087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A244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FCB7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C3EE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6457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6F53" w14:paraId="69640D2E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8DDA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B724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D0E1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2C74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39B6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C8EA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8D81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77C4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8261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9CF9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CC2A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6F53" w14:paraId="6B4B2342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A845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4B7C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B3EE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84C0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97FE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CDF8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89F6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900D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16B9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9E1B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4089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BE6F53" w14:paraId="1BE7CEF0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48BF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A7FA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F622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69A5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BB95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2589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D307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8DAA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95D4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CACD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F562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</w:tr>
      <w:tr w:rsidR="00BE6F53" w14:paraId="17E1545A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A815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0AA4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0CD5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360E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9118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3187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EDA6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CC85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E197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44AF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BCF6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6F53" w14:paraId="1E3880C5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DCCA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1C35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0C1A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292C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5344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3884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092C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C3EA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C5C6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14C5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B2BB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BE6F53" w14:paraId="7B26FAB0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0BA0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D0AF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B562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5635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0278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8CDF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3575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AD58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DD6C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6A35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4CF7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6F53" w14:paraId="7B579036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C2D9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D08C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7038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00DB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B08F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48DC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FEA2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6B25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5453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E42D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76B2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6F53" w14:paraId="233FF9B0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452E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DB90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Գ.Դ.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0B34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9EA4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D96E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4334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1012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598B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FBD9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9AE1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8667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6F53" w14:paraId="09506B18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AA49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8EB8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170F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881F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F85E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1A5B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F6EC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936C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69D7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4F5F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DD77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6F53" w14:paraId="47BBA2D7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9304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E660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D81D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B311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7B98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5D02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F4D0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AA58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D681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FF73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C4BF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BE6F53" w14:paraId="3861C958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2F70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BE17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Հասարակական շենքեր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4AFB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5455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1CFE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0CA4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CA9B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678A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EEBC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897C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3564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</w:tr>
      <w:tr w:rsidR="00BE6F53" w14:paraId="0EC356CA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60FD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B2B1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FCAD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07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775D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1575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02CA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CBA5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44DC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8A66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4B8D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</w:tbl>
    <w:p w14:paraId="76E53894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2B8849E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ամրագրված` տարբեր դասերի հրդեհների մարման համար փոշային կրակմարիչները պետք է ունենան համապատասխան լիցքավորում, «A» դասի համար ABC(E) փոշի, «D» դասի համար` (D):</w:t>
      </w:r>
    </w:p>
    <w:p w14:paraId="0BC48F2C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EB5426F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աղյուսակում.</w:t>
      </w:r>
    </w:p>
    <w:p w14:paraId="5AC25FAF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6DDDA1BA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6A923EA6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077A5DAB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rStyle w:val="Strong"/>
          <w:sz w:val="20"/>
          <w:szCs w:val="20"/>
        </w:rPr>
        <w:t>Շենքերը և շինություններն, ըստ մակերեսի, օդափրփրային, համակցված, փոշե և ածխաթթվային կրակմարիչներով ապահովվում են համաձայն հետևյալ աղյուսակի.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331"/>
        <w:gridCol w:w="1437"/>
        <w:gridCol w:w="790"/>
        <w:gridCol w:w="1500"/>
        <w:gridCol w:w="983"/>
        <w:gridCol w:w="983"/>
        <w:gridCol w:w="517"/>
        <w:gridCol w:w="517"/>
      </w:tblGrid>
      <w:tr w:rsidR="00BE6F53" w14:paraId="309CF215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82A2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633D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FD44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Պաշտպանվող սահմանային մակերեսը,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FE72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3E64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Օդափրփրային կրակմարիչներ (փրփուր) 100 լ տարողությամբ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668E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Հա-</w:t>
            </w:r>
            <w:r>
              <w:rPr>
                <w:rFonts w:eastAsia="Times New Roman"/>
                <w:sz w:val="20"/>
                <w:szCs w:val="20"/>
              </w:rPr>
              <w:br/>
              <w:t>մակցված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(փրփուր, փոշի) 100 լ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3D68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Փոշե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100 լ.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9430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Ածխա-</w:t>
            </w:r>
            <w:r>
              <w:rPr>
                <w:rFonts w:eastAsia="Times New Roman"/>
                <w:sz w:val="20"/>
                <w:szCs w:val="20"/>
              </w:rPr>
              <w:br/>
              <w:t>թթվային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մարիչներ,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 լ.</w:t>
            </w:r>
          </w:p>
        </w:tc>
      </w:tr>
      <w:tr w:rsidR="00BE6F53" w14:paraId="18477CC1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FCC4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B64B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322B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85BD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917C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14B9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D98B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8EC5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EA39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</w:tr>
      <w:tr w:rsidR="00BE6F53" w14:paraId="4D2B966E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9ACD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97DB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Ա,Բ,Վ (այրվող գազեր և հեղուկներ)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7F8C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FB18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A9D2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BA67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E70E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E654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004F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6F53" w14:paraId="22EE9A85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6C8D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4840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9CDC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8C91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6C01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2D75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C00E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C08D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B24C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6F53" w14:paraId="546FD5B3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AAAF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CDC7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2467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6853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1997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89E0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356C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5AB4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95EA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6F53" w14:paraId="697DF8C9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08F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3F7B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3734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A93C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343F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2D6C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5B8A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8CCC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4FBD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6F53" w14:paraId="17327397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E322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5E02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5DD0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E89E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E1E2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72B2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EB27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11D0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460C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6F53" w14:paraId="3168496D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9168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27CD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 (բացի այրվող գազերից և հեղուկներից)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BC2E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11BB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128B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43B1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CB5AF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2AE8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399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6F53" w14:paraId="56F95E38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5AB1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0AE8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4347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E187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C850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7AC6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D4C2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017A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7B862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6F53" w14:paraId="4CE291EC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0634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DB24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DF216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D261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AE9A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215A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4FEF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6CB3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DA869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6F53" w14:paraId="42A10778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4EA0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383A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DBD50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4696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D3963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F6D0B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7364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A4897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F99E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6F53" w14:paraId="3451FB90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84F6D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BD15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B51D8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FB7E4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E794C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03FCA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BE06E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DB0B5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0EAF1" w14:textId="77777777" w:rsidR="00BE6F53" w:rsidRDefault="00BE6F5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482C9F40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2E62F37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 տարբեր դասերի հրդեհների օջախների հրդեհաշիջման համար փոշու և համակցված կրակմարիչները պետք է ունենան համապատասխան լիցքավորում.</w:t>
      </w:r>
    </w:p>
    <w:p w14:paraId="03AE5070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1) «A» դասի համար` ABC(E) փոշի.</w:t>
      </w:r>
    </w:p>
    <w:p w14:paraId="51508B1D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2) «B», «C» և «E» դասի համար` BC(E) կամ ABC(E) փոշի.</w:t>
      </w:r>
    </w:p>
    <w:p w14:paraId="19F5BABE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3) «D» դասի համար` D փոշի:</w:t>
      </w:r>
    </w:p>
    <w:p w14:paraId="0309D163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AB26595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աղյուսակում.</w:t>
      </w:r>
    </w:p>
    <w:p w14:paraId="18EFDBD3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44D0FE33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lastRenderedPageBreak/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20B4CE7C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53622A5C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7FFF7EA" w14:textId="77777777" w:rsidR="00BE6F53" w:rsidRDefault="00BE6F53" w:rsidP="00BE6F53">
      <w:pPr>
        <w:pStyle w:val="vhc"/>
        <w:rPr>
          <w:sz w:val="20"/>
          <w:szCs w:val="20"/>
        </w:rPr>
      </w:pPr>
      <w:r>
        <w:rPr>
          <w:sz w:val="20"/>
          <w:szCs w:val="20"/>
        </w:rPr>
        <w:t>ՈՒՂԵՑՈՒՅՑ</w:t>
      </w:r>
      <w:r>
        <w:rPr>
          <w:sz w:val="20"/>
          <w:szCs w:val="20"/>
        </w:rPr>
        <w:br/>
        <w:t>ՆԱՎԹԱՄԹԵՐՔՆԵՐԻ ՊԱՀԵՍՏՆԵՐԻ ՍՏՈՒԳԱԹԵՐԹԻ</w:t>
      </w:r>
    </w:p>
    <w:p w14:paraId="31D6CCD0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87C0455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ստուգաթերթում օգտագործվում են հետևյալ հիմնական հասկացությունները`</w:t>
      </w:r>
    </w:p>
    <w:p w14:paraId="68BEF044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1) «Ա», «Բ», «Վ», «Գ», «Դ» արտադրության կարգեր` ըստ դասակարգման շենքեր, սենքեր և բաց տեխնոլոգիական սարքավորումներ, որոնց տեխնոլոգիական գործընթացներից կախված կարող են շրջանառվել կամ գտնվում են պայթյունահրդեհավտանգ և հրդեհավտանգ նյութեր` համաձայն հավելված 1-ի:</w:t>
      </w:r>
    </w:p>
    <w:p w14:paraId="0014542C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2) այրվող նյութ` ինքնուրույն, կրակի աղբյուրի հեռացումից հետո այրվող նյութ:</w:t>
      </w:r>
    </w:p>
    <w:p w14:paraId="26EDCBF1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3) բարձր հրդեհավտանգություն` իրավիճակ, երբ առկա նյութերը ունակ են առանց նախօրոք տաքացնելու բռնկվել նվազ կալորիական ջերմային աղբյուրի կարճատև ազդեցությունից:</w:t>
      </w:r>
    </w:p>
    <w:p w14:paraId="0BB5999F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4) դյուրավառ հեղուկ` բաց անոթում 61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C-ից ցածր բռնկման ջերմաստիճան ունեցող հեղուկ:</w:t>
      </w:r>
    </w:p>
    <w:p w14:paraId="50D32B4C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5) հակահրդեհային միջտարածություն` շինությունից դեպի հարևան շինություններ կրակի տարածումը կանխարգելելու նպատակով նախատեսված տարածություն:</w:t>
      </w:r>
    </w:p>
    <w:p w14:paraId="5030E7D6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6) շենքի հրակայունության աստիճան` կառուցատարրերի կրողունակությունների, ամբողջականության և ջերմամեկուսացման պահպանման չափանիշ:</w:t>
      </w:r>
    </w:p>
    <w:p w14:paraId="7F3AE5CA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7) վառողունակ` այրունակ, այրվելու ունակություն ունեցող:</w:t>
      </w:r>
    </w:p>
    <w:p w14:paraId="118E698D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8) հրդեհաշիջման և հրդեհի ազդանշանման ինքնաշխատ կայանքներ (ՀՀԱԻԿ)` նախատեսված են հրդեհաշիջման և հրդեհի վայրի հայտնաբերման համար:</w:t>
      </w:r>
    </w:p>
    <w:p w14:paraId="1F7400BE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9) հրդեհի տագնապի ազդարարման ինքնաշխատ համակարգ (ՀՏԱԻՀ)` նախատեսված է հրդեհի տագնապի ազդարարման համար:</w:t>
      </w:r>
    </w:p>
    <w:p w14:paraId="404D4D8B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10) հրդեհի տագնապի ազդանշանի փոխանցման ինքնաշխատ համակարգ (ՀՏԱՓԻՀ)` նախատեսված է հրդեհի տագնապի ազդանշանը օբյեկտից կապի որևէ հնարավոր միջոցով լիազոր մարմնին հաղորդման համար:</w:t>
      </w:r>
    </w:p>
    <w:p w14:paraId="70A4A323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11) լիազոր մարմին` Հայաստանի Հանրապետության ներքին գործերի նախարարություն:</w:t>
      </w:r>
    </w:p>
    <w:p w14:paraId="77136727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12) դյուրանետ կոնստրուկցիաներ` ապակեպատ պատուհաններ և երդիկներ կամ պողպատե, ալյումինե և ասբոցեմենտի թերթերով և արդյունավետ ջերմապահպանիչներով ծածկեր:</w:t>
      </w:r>
    </w:p>
    <w:p w14:paraId="3E6943AC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13) հրդեհաշիջման սկզբնական միջոցներ` կրակմարիչներ, արկղ ավազով, դույլ, բահ, կեռաձող, կացին:</w:t>
      </w:r>
    </w:p>
    <w:p w14:paraId="6755E4BD" w14:textId="77777777" w:rsidR="00BE6F53" w:rsidRDefault="00BE6F53" w:rsidP="00BE6F53">
      <w:pPr>
        <w:pStyle w:val="comm"/>
        <w:rPr>
          <w:sz w:val="15"/>
          <w:szCs w:val="15"/>
        </w:rPr>
      </w:pPr>
      <w:r>
        <w:rPr>
          <w:sz w:val="15"/>
          <w:szCs w:val="15"/>
        </w:rPr>
        <w:t>(26-րդ հավելվածը լրաց. 12.09.19 թիվ 1244-Ն, փոփ. 03.08.23 թիվ 1304-Ն, 18.01.24 թիվ 88-Ն որոշումներ)</w:t>
      </w:r>
    </w:p>
    <w:p w14:paraId="65351CE5" w14:textId="77777777" w:rsidR="00BE6F53" w:rsidRDefault="00BE6F53" w:rsidP="00BE6F5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4657E6B" w14:textId="77777777" w:rsidR="00CC2828" w:rsidRDefault="00CC2828"/>
    <w:sectPr w:rsidR="00CC2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1736A"/>
    <w:multiLevelType w:val="multilevel"/>
    <w:tmpl w:val="F5EA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586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53"/>
    <w:rsid w:val="00305BE4"/>
    <w:rsid w:val="006E785E"/>
    <w:rsid w:val="00BE6F53"/>
    <w:rsid w:val="00CC2828"/>
    <w:rsid w:val="00E4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BAA17"/>
  <w15:chartTrackingRefBased/>
  <w15:docId w15:val="{03424A47-DF1E-4785-A326-E3D94EBE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F53"/>
    <w:pPr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85E"/>
    <w:pPr>
      <w:pBdr>
        <w:top w:val="single" w:sz="24" w:space="0" w:color="A6B727" w:themeColor="accent1"/>
        <w:left w:val="single" w:sz="24" w:space="0" w:color="A6B727" w:themeColor="accent1"/>
        <w:bottom w:val="single" w:sz="24" w:space="0" w:color="A6B727" w:themeColor="accent1"/>
        <w:right w:val="single" w:sz="24" w:space="0" w:color="A6B727" w:themeColor="accent1"/>
      </w:pBdr>
      <w:shd w:val="clear" w:color="auto" w:fill="A6B727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85E"/>
    <w:pPr>
      <w:pBdr>
        <w:top w:val="single" w:sz="24" w:space="0" w:color="F0F5CF" w:themeColor="accent1" w:themeTint="33"/>
        <w:left w:val="single" w:sz="24" w:space="0" w:color="F0F5CF" w:themeColor="accent1" w:themeTint="33"/>
        <w:bottom w:val="single" w:sz="24" w:space="0" w:color="F0F5CF" w:themeColor="accent1" w:themeTint="33"/>
        <w:right w:val="single" w:sz="24" w:space="0" w:color="F0F5CF" w:themeColor="accent1" w:themeTint="33"/>
      </w:pBdr>
      <w:shd w:val="clear" w:color="auto" w:fill="F0F5CF" w:themeFill="accent1" w:themeFillTint="33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85E"/>
    <w:pPr>
      <w:pBdr>
        <w:top w:val="single" w:sz="6" w:space="2" w:color="A6B727" w:themeColor="accent1"/>
      </w:pBdr>
      <w:spacing w:before="300"/>
      <w:outlineLvl w:val="2"/>
    </w:pPr>
    <w:rPr>
      <w:caps/>
      <w:color w:val="525A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85E"/>
    <w:pPr>
      <w:pBdr>
        <w:top w:val="dotted" w:sz="6" w:space="2" w:color="A6B727" w:themeColor="accent1"/>
      </w:pBdr>
      <w:spacing w:before="200"/>
      <w:outlineLvl w:val="3"/>
    </w:pPr>
    <w:rPr>
      <w:caps/>
      <w:color w:val="7B881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85E"/>
    <w:pPr>
      <w:pBdr>
        <w:bottom w:val="single" w:sz="6" w:space="1" w:color="A6B727" w:themeColor="accent1"/>
      </w:pBdr>
      <w:spacing w:before="200"/>
      <w:outlineLvl w:val="4"/>
    </w:pPr>
    <w:rPr>
      <w:caps/>
      <w:color w:val="7B881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85E"/>
    <w:pPr>
      <w:pBdr>
        <w:bottom w:val="dotted" w:sz="6" w:space="1" w:color="A6B727" w:themeColor="accent1"/>
      </w:pBdr>
      <w:spacing w:before="200"/>
      <w:outlineLvl w:val="5"/>
    </w:pPr>
    <w:rPr>
      <w:caps/>
      <w:color w:val="7B881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85E"/>
    <w:pPr>
      <w:spacing w:before="200"/>
      <w:outlineLvl w:val="6"/>
    </w:pPr>
    <w:rPr>
      <w:caps/>
      <w:color w:val="7B881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85E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85E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85E"/>
    <w:rPr>
      <w:caps/>
      <w:color w:val="FFFFFF" w:themeColor="background1"/>
      <w:spacing w:val="15"/>
      <w:sz w:val="22"/>
      <w:szCs w:val="22"/>
      <w:shd w:val="clear" w:color="auto" w:fill="A6B727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85E"/>
    <w:rPr>
      <w:caps/>
      <w:spacing w:val="15"/>
      <w:shd w:val="clear" w:color="auto" w:fill="F0F5C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85E"/>
    <w:rPr>
      <w:caps/>
      <w:color w:val="525A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85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85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85E"/>
    <w:rPr>
      <w:b/>
      <w:bCs/>
      <w:color w:val="7B881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E785E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85E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85E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E785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E785E"/>
    <w:rPr>
      <w:b/>
      <w:bCs/>
    </w:rPr>
  </w:style>
  <w:style w:type="character" w:styleId="Emphasis">
    <w:name w:val="Emphasis"/>
    <w:uiPriority w:val="20"/>
    <w:qFormat/>
    <w:rsid w:val="006E785E"/>
    <w:rPr>
      <w:caps/>
      <w:color w:val="525A13" w:themeColor="accent1" w:themeShade="7F"/>
      <w:spacing w:val="5"/>
    </w:rPr>
  </w:style>
  <w:style w:type="paragraph" w:styleId="NoSpacing">
    <w:name w:val="No Spacing"/>
    <w:uiPriority w:val="1"/>
    <w:qFormat/>
    <w:rsid w:val="006E78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78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E785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785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85E"/>
    <w:pPr>
      <w:spacing w:before="240" w:after="240"/>
      <w:ind w:left="1080" w:right="1080"/>
      <w:jc w:val="center"/>
    </w:pPr>
    <w:rPr>
      <w:color w:val="A6B72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85E"/>
    <w:rPr>
      <w:color w:val="A6B727" w:themeColor="accent1"/>
      <w:sz w:val="24"/>
      <w:szCs w:val="24"/>
    </w:rPr>
  </w:style>
  <w:style w:type="character" w:styleId="SubtleEmphasis">
    <w:name w:val="Subtle Emphasis"/>
    <w:uiPriority w:val="19"/>
    <w:qFormat/>
    <w:rsid w:val="006E785E"/>
    <w:rPr>
      <w:i/>
      <w:iCs/>
      <w:color w:val="525A13" w:themeColor="accent1" w:themeShade="7F"/>
    </w:rPr>
  </w:style>
  <w:style w:type="character" w:styleId="IntenseEmphasis">
    <w:name w:val="Intense Emphasis"/>
    <w:uiPriority w:val="21"/>
    <w:qFormat/>
    <w:rsid w:val="006E785E"/>
    <w:rPr>
      <w:b/>
      <w:bCs/>
      <w:caps/>
      <w:color w:val="525A13" w:themeColor="accent1" w:themeShade="7F"/>
      <w:spacing w:val="10"/>
    </w:rPr>
  </w:style>
  <w:style w:type="character" w:styleId="SubtleReference">
    <w:name w:val="Subtle Reference"/>
    <w:uiPriority w:val="31"/>
    <w:qFormat/>
    <w:rsid w:val="006E785E"/>
    <w:rPr>
      <w:b/>
      <w:bCs/>
      <w:color w:val="A6B727" w:themeColor="accent1"/>
    </w:rPr>
  </w:style>
  <w:style w:type="character" w:styleId="IntenseReference">
    <w:name w:val="Intense Reference"/>
    <w:uiPriority w:val="32"/>
    <w:qFormat/>
    <w:rsid w:val="006E785E"/>
    <w:rPr>
      <w:b/>
      <w:bCs/>
      <w:i/>
      <w:iCs/>
      <w:caps/>
      <w:color w:val="A6B727" w:themeColor="accent1"/>
    </w:rPr>
  </w:style>
  <w:style w:type="character" w:styleId="BookTitle">
    <w:name w:val="Book Title"/>
    <w:uiPriority w:val="33"/>
    <w:qFormat/>
    <w:rsid w:val="006E785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785E"/>
    <w:pPr>
      <w:outlineLvl w:val="9"/>
    </w:pPr>
  </w:style>
  <w:style w:type="paragraph" w:customStyle="1" w:styleId="msonormal0">
    <w:name w:val="msonormal"/>
    <w:basedOn w:val="Normal"/>
    <w:rsid w:val="00BE6F53"/>
    <w:pPr>
      <w:ind w:firstLine="450"/>
      <w:jc w:val="both"/>
    </w:pPr>
  </w:style>
  <w:style w:type="paragraph" w:styleId="NormalWeb">
    <w:name w:val="Normal (Web)"/>
    <w:basedOn w:val="Normal"/>
    <w:uiPriority w:val="99"/>
    <w:semiHidden/>
    <w:unhideWhenUsed/>
    <w:rsid w:val="00BE6F53"/>
    <w:pPr>
      <w:ind w:firstLine="450"/>
      <w:jc w:val="both"/>
    </w:pPr>
  </w:style>
  <w:style w:type="paragraph" w:customStyle="1" w:styleId="bc0h">
    <w:name w:val="bc0h"/>
    <w:basedOn w:val="Normal"/>
    <w:rsid w:val="00BE6F53"/>
    <w:pPr>
      <w:ind w:left="450"/>
      <w:jc w:val="center"/>
    </w:pPr>
    <w:rPr>
      <w:b/>
      <w:bCs/>
    </w:rPr>
  </w:style>
  <w:style w:type="paragraph" w:customStyle="1" w:styleId="bc1m">
    <w:name w:val="bc1m"/>
    <w:basedOn w:val="Normal"/>
    <w:rsid w:val="00BE6F53"/>
    <w:pPr>
      <w:ind w:left="450"/>
      <w:jc w:val="center"/>
    </w:pPr>
    <w:rPr>
      <w:b/>
      <w:bCs/>
    </w:rPr>
  </w:style>
  <w:style w:type="paragraph" w:customStyle="1" w:styleId="bc2b">
    <w:name w:val="bc2b"/>
    <w:basedOn w:val="Normal"/>
    <w:rsid w:val="00BE6F53"/>
    <w:pPr>
      <w:ind w:left="450"/>
      <w:jc w:val="center"/>
    </w:pPr>
    <w:rPr>
      <w:b/>
      <w:bCs/>
    </w:rPr>
  </w:style>
  <w:style w:type="paragraph" w:customStyle="1" w:styleId="bc3e">
    <w:name w:val="bc3e"/>
    <w:basedOn w:val="Normal"/>
    <w:rsid w:val="00BE6F53"/>
    <w:pPr>
      <w:ind w:left="450"/>
      <w:jc w:val="center"/>
    </w:pPr>
    <w:rPr>
      <w:b/>
      <w:bCs/>
    </w:rPr>
  </w:style>
  <w:style w:type="paragraph" w:customStyle="1" w:styleId="bc4gp">
    <w:name w:val="bc4gp"/>
    <w:basedOn w:val="Normal"/>
    <w:rsid w:val="00BE6F53"/>
    <w:pPr>
      <w:ind w:left="450"/>
      <w:jc w:val="center"/>
    </w:pPr>
    <w:rPr>
      <w:b/>
      <w:bCs/>
    </w:rPr>
  </w:style>
  <w:style w:type="paragraph" w:customStyle="1" w:styleId="bc5p">
    <w:name w:val="bc5p"/>
    <w:basedOn w:val="Normal"/>
    <w:rsid w:val="00BE6F53"/>
    <w:pPr>
      <w:ind w:left="450"/>
      <w:jc w:val="center"/>
    </w:pPr>
    <w:rPr>
      <w:b/>
      <w:bCs/>
    </w:rPr>
  </w:style>
  <w:style w:type="paragraph" w:customStyle="1" w:styleId="bc6k">
    <w:name w:val="bc6k"/>
    <w:basedOn w:val="Normal"/>
    <w:rsid w:val="00BE6F53"/>
    <w:pPr>
      <w:ind w:left="450" w:firstLine="450"/>
      <w:jc w:val="center"/>
    </w:pPr>
    <w:rPr>
      <w:b/>
      <w:bCs/>
    </w:rPr>
  </w:style>
  <w:style w:type="paragraph" w:customStyle="1" w:styleId="vhc">
    <w:name w:val="vhc"/>
    <w:basedOn w:val="Normal"/>
    <w:rsid w:val="00BE6F53"/>
    <w:pPr>
      <w:ind w:left="450" w:firstLine="450"/>
      <w:jc w:val="center"/>
    </w:pPr>
    <w:rPr>
      <w:b/>
      <w:bCs/>
    </w:rPr>
  </w:style>
  <w:style w:type="paragraph" w:customStyle="1" w:styleId="bc4gt">
    <w:name w:val="bc4gt"/>
    <w:basedOn w:val="Normal"/>
    <w:rsid w:val="00BE6F53"/>
    <w:pPr>
      <w:ind w:left="450"/>
    </w:pPr>
  </w:style>
  <w:style w:type="paragraph" w:customStyle="1" w:styleId="bc7h">
    <w:name w:val="bc7h"/>
    <w:basedOn w:val="Normal"/>
    <w:rsid w:val="00BE6F53"/>
    <w:pPr>
      <w:ind w:left="450"/>
    </w:pPr>
  </w:style>
  <w:style w:type="paragraph" w:customStyle="1" w:styleId="vht">
    <w:name w:val="vht"/>
    <w:basedOn w:val="Normal"/>
    <w:rsid w:val="00BE6F53"/>
    <w:pPr>
      <w:ind w:left="450"/>
    </w:pPr>
  </w:style>
  <w:style w:type="paragraph" w:customStyle="1" w:styleId="comm">
    <w:name w:val="comm"/>
    <w:basedOn w:val="Normal"/>
    <w:rsid w:val="00BE6F53"/>
    <w:pPr>
      <w:ind w:firstLine="450"/>
      <w:jc w:val="both"/>
    </w:pPr>
    <w:rPr>
      <w:b/>
      <w:bCs/>
      <w:i/>
      <w:iCs/>
      <w:sz w:val="20"/>
      <w:szCs w:val="20"/>
    </w:rPr>
  </w:style>
  <w:style w:type="paragraph" w:customStyle="1" w:styleId="tst">
    <w:name w:val="tst"/>
    <w:basedOn w:val="Normal"/>
    <w:rsid w:val="00BE6F53"/>
    <w:pPr>
      <w:spacing w:before="100" w:beforeAutospacing="1" w:after="100" w:afterAutospacing="1"/>
    </w:pPr>
    <w:rPr>
      <w:rFonts w:ascii="ifont" w:hAnsi="ifont"/>
      <w:sz w:val="14"/>
      <w:szCs w:val="14"/>
    </w:rPr>
  </w:style>
  <w:style w:type="paragraph" w:customStyle="1" w:styleId="empty">
    <w:name w:val="empty"/>
    <w:basedOn w:val="Normal"/>
    <w:rsid w:val="00BE6F53"/>
    <w:pPr>
      <w:shd w:val="clear" w:color="auto" w:fill="FF0000"/>
      <w:spacing w:before="100" w:beforeAutospacing="1" w:after="100" w:afterAutospacing="1"/>
      <w:ind w:left="105"/>
    </w:pPr>
  </w:style>
  <w:style w:type="paragraph" w:customStyle="1" w:styleId="irtekcomm">
    <w:name w:val="irtek_comm"/>
    <w:basedOn w:val="Normal"/>
    <w:rsid w:val="00BE6F53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/>
      <w:ind w:left="450" w:right="150"/>
    </w:pPr>
    <w:rPr>
      <w:color w:val="0077BB"/>
      <w:sz w:val="20"/>
      <w:szCs w:val="20"/>
    </w:rPr>
  </w:style>
  <w:style w:type="paragraph" w:customStyle="1" w:styleId="tablestyle">
    <w:name w:val="tablestyle"/>
    <w:basedOn w:val="Normal"/>
    <w:rsid w:val="00BE6F53"/>
    <w:rPr>
      <w:rFonts w:ascii="Arm Mono" w:hAnsi="Arm Mono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E6F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6F53"/>
    <w:rPr>
      <w:color w:val="800080"/>
      <w:u w:val="single"/>
    </w:rPr>
  </w:style>
  <w:style w:type="paragraph" w:customStyle="1" w:styleId="dateinterval">
    <w:name w:val="dateinterval"/>
    <w:basedOn w:val="Normal"/>
    <w:rsid w:val="00BE6F53"/>
    <w:pPr>
      <w:ind w:firstLine="450"/>
      <w:jc w:val="both"/>
    </w:pPr>
  </w:style>
  <w:style w:type="paragraph" w:customStyle="1" w:styleId="maxindex">
    <w:name w:val="maxindex"/>
    <w:basedOn w:val="Normal"/>
    <w:rsid w:val="00BE6F53"/>
    <w:pPr>
      <w:ind w:firstLine="4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3309</Words>
  <Characters>18863</Characters>
  <Application>Microsoft Office Word</Application>
  <DocSecurity>0</DocSecurity>
  <Lines>157</Lines>
  <Paragraphs>44</Paragraphs>
  <ScaleCrop>false</ScaleCrop>
  <Company/>
  <LinksUpToDate>false</LinksUpToDate>
  <CharactersWithSpaces>22128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</dc:creator>
  <cp:keywords/>
  <dc:description/>
  <cp:lastModifiedBy>Armine</cp:lastModifiedBy>
  <cp:revision>1</cp:revision>
  <dcterms:created xsi:type="dcterms:W3CDTF">2024-06-11T07:04:00Z</dcterms:created>
  <dcterms:modified xsi:type="dcterms:W3CDTF">2024-06-11T07:04:00Z</dcterms:modified>
</cp:coreProperties>
</file>